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26-68</w:t>
      </w:r>
    </w:p>
    <w:p>
      <w:pPr>
        <w:spacing w:before="0" w:after="0" w:line="480"/>
        <w:ind w:left="120"/>
        <w:jc w:val="left"/>
      </w:pPr>
    </w:p>
    <w:p>
      <w:pPr>
        <w:spacing w:before="0" w:after="0" w:line="480"/>
        <w:ind w:left="120"/>
        <w:jc w:val="center"/>
      </w:pPr>
      <w:r>
        <w:rPr>
          <w:rFonts w:ascii="Times New Roman" w:hAnsi="Times New Roman"/>
          <w:b/>
          <w:i w:val="false"/>
          <w:color w:val="000000"/>
          <w:sz w:val="28"/>
        </w:rPr>
        <w:t>INSPECTIONS AND APPEALS DEPARTMENT[481]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481—Chapter 100</w:t>
      </w:r>
    </w:p>
    <w:p>
      <w:pPr>
        <w:spacing w:before="0" w:after="0" w:line="480"/>
        <w:ind w:left="120"/>
        <w:jc w:val="center"/>
      </w:pPr>
      <w:r>
        <w:rPr>
          <w:rFonts w:ascii="Times New Roman" w:hAnsi="Times New Roman"/>
          <w:b w:val="false"/>
          <w:i w:val="false"/>
          <w:color w:val="000000"/>
          <w:sz w:val="24"/>
        </w:rPr>
        <w:t>“General Provisions for Social and Charitable Gambling”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99B.2</w:t>
      </w:r>
    </w:p>
    <w:p>
      <w:pPr>
        <w:spacing w:before="0" w:after="0" w:line="480"/>
        <w:ind w:left="120"/>
        <w:jc w:val="both"/>
      </w:pPr>
      <w:r>
        <w:rPr>
          <w:rFonts w:ascii="Times New Roman" w:hAnsi="Times New Roman"/>
          <w:b w:val="false"/>
          <w:i w:val="false"/>
          <w:color w:val="000000"/>
          <w:sz w:val="24"/>
        </w:rPr>
        <w:t>State or federal law(s) implemented by the rulemaking: Iowa Code chapter 99B and 2026 Iowa Acts, House File 2506</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5760"/>
        <w:gridCol w:w="5760"/>
      </w:tblGrid>
      <w:tr>
        <w:trPr>
          <w:trHeight w:val="1470" w:hRule="atLeast"/>
        </w:trPr>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June 17, 2026</w:t>
            </w:r>
            <w:r>
              <w:br/>
            </w:r>
            <w:r>
              <w:rPr>
                <w:rFonts w:ascii="Times New Roman" w:hAnsi="Times New Roman"/>
                <w:b w:val="false"/>
                <w:i w:val="false"/>
                <w:color w:val="000000"/>
                <w:sz w:val="21"/>
              </w:rPr>
              <w:t>9 a.m.</w:t>
            </w:r>
          </w:p>
        </w:tc>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Ledges Conference Room</w:t>
            </w:r>
            <w:r>
              <w:br/>
            </w:r>
            <w:r>
              <w:rPr>
                <w:rFonts w:ascii="Times New Roman" w:hAnsi="Times New Roman"/>
                <w:b w:val="false"/>
                <w:i w:val="false"/>
                <w:color w:val="000000"/>
                <w:sz w:val="21"/>
              </w:rPr>
              <w:t>6200 Park Avenue, Suite 100</w:t>
            </w:r>
            <w:r>
              <w:br/>
            </w:r>
            <w:r>
              <w:rPr>
                <w:rFonts w:ascii="Times New Roman" w:hAnsi="Times New Roman"/>
                <w:b w:val="false"/>
                <w:i w:val="false"/>
                <w:color w:val="000000"/>
                <w:sz w:val="21"/>
              </w:rPr>
              <w:t>Des Moines, Iowa</w:t>
            </w:r>
          </w:p>
        </w:tc>
      </w:tr>
    </w:tbl>
    <w:p>
      <w:pPr>
        <w:pBdr>
          <w:top w:space="5"/>
        </w:pBdr>
        <w:spacing w:before="0" w:after="0" w:line="480"/>
        <w:ind w:left="120"/>
        <w:jc w:val="both"/>
      </w:pPr>
      <w:r>
        <w:rPr>
          <w:rFonts w:ascii="Times New Roman" w:hAnsi="Times New Roman"/>
          <w:b w:val="false"/>
          <w:i w:val="false"/>
          <w:color w:val="000000"/>
          <w:sz w:val="24"/>
        </w:rPr>
        <w:t>    Information on virtual participation will be available on the Department of Inspections, Appeals, and Licensing’s website prior to the hearing.</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Pr>
      <w:tblGrid>
        <w:gridCol w:w="5856"/>
      </w:tblGrid>
      <w:tr>
        <w:trPr>
          <w:trHeight w:val="2925" w:hRule="atLeast"/>
        </w:trPr>
        <w:tc>
          <w:tcPr>
            <w:tcW w:w="585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Amy Oetken</w:t>
            </w:r>
            <w:r>
              <w:br/>
            </w:r>
            <w:r>
              <w:rPr>
                <w:rFonts w:ascii="Times New Roman" w:hAnsi="Times New Roman"/>
                <w:b w:val="false"/>
                <w:i w:val="false"/>
                <w:color w:val="000000"/>
                <w:sz w:val="21"/>
              </w:rPr>
              <w:t>Department of Inspections, Appeals, and Licensing</w:t>
            </w:r>
            <w:r>
              <w:br/>
            </w:r>
            <w:r>
              <w:rPr>
                <w:rFonts w:ascii="Times New Roman" w:hAnsi="Times New Roman"/>
                <w:b w:val="false"/>
                <w:i w:val="false"/>
                <w:color w:val="000000"/>
                <w:sz w:val="21"/>
              </w:rPr>
              <w:t>6200 Park Avenue, Suite 100</w:t>
            </w:r>
            <w:r>
              <w:br/>
            </w:r>
            <w:r>
              <w:rPr>
                <w:rFonts w:ascii="Times New Roman" w:hAnsi="Times New Roman"/>
                <w:b w:val="false"/>
                <w:i w:val="false"/>
                <w:color w:val="000000"/>
                <w:sz w:val="21"/>
              </w:rPr>
              <w:t>Des Moines, Iowa 50321</w:t>
            </w:r>
            <w:r>
              <w:br/>
            </w:r>
            <w:r>
              <w:rPr>
                <w:rFonts w:ascii="Times New Roman" w:hAnsi="Times New Roman"/>
                <w:b w:val="false"/>
                <w:i w:val="false"/>
                <w:color w:val="000000"/>
                <w:sz w:val="21"/>
              </w:rPr>
              <w:t>Phone: 515.672.4929</w:t>
            </w:r>
            <w:r>
              <w:br/>
            </w:r>
            <w:r>
              <w:rPr>
                <w:rFonts w:ascii="Times New Roman" w:hAnsi="Times New Roman"/>
                <w:b w:val="false"/>
                <w:i w:val="false"/>
                <w:color w:val="000000"/>
                <w:sz w:val="21"/>
              </w:rPr>
              <w:t xml:space="preserve">Email: </w:t>
            </w:r>
            <w:hyperlink r:id="rId4">
              <w:r>
                <w:rPr>
                  <w:rStyle w:val="Hyperlink"/>
                  <w:rFonts w:ascii="Times New Roman" w:hAnsi="Times New Roman"/>
                  <w:b w:val="false"/>
                  <w:i w:val="false"/>
                  <w:color w:val="0000ff"/>
                  <w:sz w:val="24"/>
                </w:rPr>
                <w:t>amy.oetken@dia.iowa.gov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rulemaking implements 2026 Iowa Acts, House File 2506. This allows for organizations conducting social and charitable gambling events to notify a prize winner within one year of the prize being awarded.</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anticipated costs related to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The members of the industry will benefit from having more raffle options.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members of the industry will have more options when distributing prizes.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proposed rulemaking allows more flexibility when distributing prizes to ensure the maximum number of people have the ability to win a prize.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is no anticipated effect on agency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There are no specific financial costs to implement or enforce this proposed rulemaking outside of any costs associated with the Department’s statutory duties identified.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There are no less costly or intrusive methods for achieving the purpose of the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See response to question 5 above.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See response to question 5 above.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Iowa Code chapter 99B does not allow for exemptions or different standards for small businesses or organizations.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subrule </w:t>
      </w:r>
      <w:r>
        <w:rPr>
          <w:rFonts w:ascii="Times New Roman" w:hAnsi="Times New Roman"/>
          <w:b w:val="false"/>
          <w:i w:val="false"/>
          <w:color w:val="000000"/>
          <w:sz w:val="24"/>
        </w:rPr>
        <w:t>100.10(1)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in lieu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100.10(1)</w:t>
      </w:r>
      <w:r>
        <w:rPr>
          <w:rFonts w:ascii="Times New Roman" w:hAnsi="Times New Roman"/>
          <w:b w:val="false"/>
          <w:i w:val="false"/>
          <w:color w:val="000000"/>
          <w:sz w:val="24"/>
        </w:rPr>
        <w:t> </w:t>
      </w:r>
      <w:r>
        <w:rPr>
          <w:rFonts w:ascii="Times New Roman" w:hAnsi="Times New Roman"/>
          <w:b w:val="false"/>
          <w:i w:val="false"/>
          <w:color w:val="000000"/>
          <w:sz w:val="24"/>
        </w:rPr>
        <w:t>A copy of the rules for a raffle shall be available upon request and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Methods of awarding a prize, including the date the prize is won;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Prices to play, including discounts;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Whether a sufficient number of entries must be sold in order for the raffle to occur, or if an alternate prize is offered when sales of entries are insufficient.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subrule </w:t>
      </w:r>
      <w:r>
        <w:rPr>
          <w:rFonts w:ascii="Times New Roman" w:hAnsi="Times New Roman"/>
          <w:b w:val="false"/>
          <w:i w:val="false"/>
          <w:color w:val="000000"/>
          <w:sz w:val="24"/>
        </w:rPr>
        <w:t>100.16(4)</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in lieu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100.16(4)</w:t>
      </w:r>
      <w:r>
        <w:rPr>
          <w:rFonts w:ascii="Times New Roman" w:hAnsi="Times New Roman"/>
          <w:b w:val="false"/>
          <w:i w:val="false"/>
          <w:color w:val="000000"/>
          <w:sz w:val="24"/>
        </w:rPr>
        <w:t> </w:t>
      </w:r>
      <w:r>
        <w:rPr>
          <w:rFonts w:ascii="Times New Roman" w:hAnsi="Times New Roman"/>
          <w:b w:val="false"/>
          <w:i/>
          <w:color w:val="000000"/>
          <w:sz w:val="24"/>
        </w:rPr>
        <w:t xml:space="preserve">Winners. </w:t>
      </w:r>
      <w:r>
        <w:rPr>
          <w:rFonts w:ascii="Times New Roman" w:hAnsi="Times New Roman"/>
          <w:b w:val="false"/>
          <w:i w:val="false"/>
          <w:color w:val="000000"/>
          <w:sz w:val="24"/>
        </w:rPr>
        <w:t>The drawing of the winning entry shall be done in a manner that allows the purchasers to observe the drawing.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raffle shall clearly describe the date the prize will be considered to be won. If no specific winning date is specified, the prize will be considered to be won on the date of the drawing.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date by which the prize shall be claimed will be no fewer than 14 days following the notification of the winner.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Notification will be considered to be as soon as practical so long as it is within one year of the prize being awarded.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the prize is not claimed, the licensed QO may do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Continue to draw until a winner claims the prize. Each drawing will allow the time period specified in paragraph </w:t>
      </w:r>
      <w:hyperlink r:id="rId5">
        <w:r>
          <w:rPr>
            <w:rStyle w:val="Hyperlink"/>
            <w:rFonts w:ascii="Times New Roman" w:hAnsi="Times New Roman"/>
            <w:b w:val="false"/>
            <w:i w:val="false"/>
            <w:color w:val="000000"/>
            <w:sz w:val="24"/>
          </w:rPr>
          <w:t>100.16(4)</w:t>
        </w:r>
      </w:hyperlink>
      <w:r>
        <w:rPr>
          <w:rFonts w:ascii="Times New Roman" w:hAnsi="Times New Roman"/>
          <w:b w:val="false"/>
          <w:i/>
          <w:color w:val="000000"/>
          <w:sz w:val="24"/>
        </w:rPr>
        <w:t>“b”</w:t>
      </w:r>
      <w:r>
        <w:rPr>
          <w:rFonts w:ascii="Times New Roman" w:hAnsi="Times New Roman"/>
          <w:b w:val="false"/>
          <w:i w:val="false"/>
          <w:color w:val="000000"/>
          <w:sz w:val="24"/>
        </w:rPr>
        <w:t xml:space="preserve"> for claiming the prize.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Donate the unclaimed prize to another QO to be used for an educational, civic, public, charitable, patriotic, or religious use.</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amy.oetken@dia.iowa.gov" Type="http://schemas.openxmlformats.org/officeDocument/2006/relationships/hyperlink" Id="rId4"/>
    <Relationship TargetMode="External" Target="https://www.legis.iowa.gov/docs/iac/rule/481.100.16.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